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4A" w:rsidRPr="00847A4A" w:rsidRDefault="00847A4A" w:rsidP="00847A4A">
      <w:pPr>
        <w:spacing w:line="240" w:lineRule="auto"/>
        <w:jc w:val="both"/>
        <w:textAlignment w:val="center"/>
        <w:rPr>
          <w:rFonts w:ascii="Fira Sans" w:eastAsia="Times New Roman" w:hAnsi="Fira Sans" w:cs="Helvetica"/>
          <w:caps/>
          <w:color w:val="111C48"/>
          <w:sz w:val="23"/>
          <w:szCs w:val="23"/>
          <w:lang w:eastAsia="fr-FR"/>
        </w:rPr>
      </w:pPr>
      <w:r w:rsidRPr="00847A4A">
        <w:rPr>
          <w:rFonts w:ascii="Fira Sans" w:eastAsia="Times New Roman" w:hAnsi="Fira Sans" w:cs="Helvetica"/>
          <w:caps/>
          <w:color w:val="111C48"/>
          <w:sz w:val="23"/>
          <w:szCs w:val="23"/>
          <w:lang w:eastAsia="fr-FR"/>
        </w:rPr>
        <w:t>PORTÉE DE L'EXONÉRATION</w:t>
      </w:r>
    </w:p>
    <w:p w:rsidR="00847A4A" w:rsidRPr="00847A4A" w:rsidRDefault="00847A4A" w:rsidP="00847A4A">
      <w:pPr>
        <w:spacing w:line="240" w:lineRule="auto"/>
        <w:jc w:val="both"/>
        <w:rPr>
          <w:rFonts w:ascii="Fira Sans" w:eastAsia="Times New Roman" w:hAnsi="Fira Sans" w:cs="Times New Roman"/>
          <w:caps/>
          <w:color w:val="111C48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aps/>
          <w:color w:val="111C48"/>
          <w:sz w:val="23"/>
          <w:szCs w:val="23"/>
          <w:lang w:eastAsia="fr-FR"/>
        </w:rPr>
        <w:t>PLUS-VALUES DE CESSION</w:t>
      </w:r>
    </w:p>
    <w:p w:rsidR="00847A4A" w:rsidRPr="00847A4A" w:rsidRDefault="00847A4A" w:rsidP="00847A4A">
      <w:pPr>
        <w:spacing w:after="0" w:line="240" w:lineRule="auto"/>
        <w:jc w:val="right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111C48"/>
          <w:sz w:val="23"/>
          <w:szCs w:val="23"/>
          <w:bdr w:val="none" w:sz="0" w:space="0" w:color="auto" w:frame="1"/>
          <w:lang w:eastAsia="fr-FR"/>
        </w:rPr>
        <w:t>19930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333333"/>
          <w:sz w:val="23"/>
          <w:szCs w:val="23"/>
          <w:bdr w:val="none" w:sz="0" w:space="0" w:color="auto" w:frame="1"/>
          <w:lang w:eastAsia="fr-FR"/>
        </w:rPr>
        <w:t>BIC-XIX-31600 s</w:t>
      </w:r>
    </w:p>
    <w:p w:rsidR="00847A4A" w:rsidRPr="00847A4A" w:rsidRDefault="00847A4A" w:rsidP="00847A4A">
      <w:pPr>
        <w:spacing w:after="150" w:line="240" w:lineRule="auto"/>
        <w:jc w:val="both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 xml:space="preserve">L'exonération s'applique à la totalité des plus-values, à court terme ou à long terme, dégagées à l'occasion de la cession, à l'exception des plus-values immobilières qui restent imposables dans les conditions de droit commun (application le cas échéant de l'abattement pour </w:t>
      </w:r>
      <w:proofErr w:type="spellStart"/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durée</w:t>
      </w:r>
      <w:proofErr w:type="spellEnd"/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 xml:space="preserve"> de détention : </w:t>
      </w:r>
      <w:hyperlink r:id="rId4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18095 s.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).</w:t>
      </w:r>
      <w:r w:rsidRPr="00847A4A"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  <w:br/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Les plus-values immobilières s'entendent des plus-values réalisées à raison de biens immobiliers bâtis ou non bâtis et de droits ou parts de sociétés dont l'actif est principalement constitué par ces mêmes biens. Toutefois, les plus-values réalisées à l'occasion de la cession de l'intégralité des parts détenues dans une société de personnes peuvent être exonérées lorsque l'actif social est principalement constitué de biens immobiliers affectés par la société à sa propre exploitation, ou donnés en location à titre principal à des entreprises liées au sens de l'</w:t>
      </w:r>
      <w:hyperlink r:id="rId5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article 39, 12 du CGI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(</w:t>
      </w:r>
      <w:hyperlink r:id="rId6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10425, précision a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 lorsque celles-ci les affectent à leur propre exploitation, ou de droits ou parts de sociétés dont l'actif est principalement constitué des mêmes biens, droits ou parts.</w:t>
      </w:r>
      <w:r w:rsidRPr="00847A4A"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  <w:br/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Les profits dégagés sur les éléments de l'actif circulant cédés sont imposables dans les conditions de droit commun.</w:t>
      </w:r>
    </w:p>
    <w:p w:rsidR="00847A4A" w:rsidRPr="00847A4A" w:rsidRDefault="00847A4A" w:rsidP="00847A4A">
      <w:pPr>
        <w:spacing w:line="240" w:lineRule="auto"/>
        <w:jc w:val="both"/>
        <w:rPr>
          <w:rFonts w:ascii="Fira Sans" w:eastAsia="Times New Roman" w:hAnsi="Fira Sans" w:cs="Times New Roman"/>
          <w:caps/>
          <w:color w:val="111C48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aps/>
          <w:color w:val="111C48"/>
          <w:sz w:val="23"/>
          <w:szCs w:val="23"/>
          <w:lang w:eastAsia="fr-FR"/>
        </w:rPr>
        <w:t>PLUS-VALUES EN REPORT D'IMPOSITION</w:t>
      </w:r>
    </w:p>
    <w:p w:rsidR="00847A4A" w:rsidRPr="00847A4A" w:rsidRDefault="00847A4A" w:rsidP="00847A4A">
      <w:pPr>
        <w:spacing w:after="0" w:line="240" w:lineRule="auto"/>
        <w:jc w:val="right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111C48"/>
          <w:sz w:val="23"/>
          <w:szCs w:val="23"/>
          <w:bdr w:val="none" w:sz="0" w:space="0" w:color="auto" w:frame="1"/>
          <w:lang w:eastAsia="fr-FR"/>
        </w:rPr>
        <w:t>19935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333333"/>
          <w:sz w:val="23"/>
          <w:szCs w:val="23"/>
          <w:bdr w:val="none" w:sz="0" w:space="0" w:color="auto" w:frame="1"/>
          <w:lang w:eastAsia="fr-FR"/>
        </w:rPr>
        <w:t>BIC-XIX-31850 s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Certaines </w:t>
      </w:r>
      <w:bookmarkStart w:id="0" w:name="JVHIT"/>
      <w:bookmarkStart w:id="1" w:name="JVHIT_1"/>
      <w:bookmarkEnd w:id="0"/>
      <w:bookmarkEnd w:id="1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2" w:name="JVHIT_2"/>
      <w:bookmarkEnd w:id="2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en </w:t>
      </w:r>
      <w:bookmarkStart w:id="3" w:name="JVHIT_3"/>
      <w:bookmarkEnd w:id="3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report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d'</w:t>
      </w:r>
      <w:bookmarkStart w:id="4" w:name="JVHIT_4"/>
      <w:bookmarkEnd w:id="4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imposition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, qui deviennent en principe taxables du fait de la cession, sont exonérées dès lors que la </w:t>
      </w:r>
      <w:bookmarkStart w:id="5" w:name="JVHIT_5"/>
      <w:bookmarkEnd w:id="5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6" w:name="JVHIT_6"/>
      <w:bookmarkEnd w:id="6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dégagée à l'occasion du départ en retraite du cédant bénéficie elle-même du régime d'exonération des </w:t>
      </w:r>
      <w:bookmarkStart w:id="7" w:name="JVHIT_7"/>
      <w:bookmarkEnd w:id="7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8" w:name="JVHIT_8"/>
      <w:bookmarkEnd w:id="8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professionnelles, l'ensemble des conditions requises à cet effet étant satisfaites. Sont concernées les </w:t>
      </w:r>
      <w:bookmarkStart w:id="9" w:name="JVHIT_9"/>
      <w:bookmarkEnd w:id="9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10" w:name="JVHIT_10"/>
      <w:bookmarkEnd w:id="10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en </w:t>
      </w:r>
      <w:bookmarkStart w:id="11" w:name="JVHIT_11"/>
      <w:bookmarkEnd w:id="11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report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d'</w:t>
      </w:r>
      <w:bookmarkStart w:id="12" w:name="JVHIT_12"/>
      <w:bookmarkEnd w:id="12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imposition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réalisées dans le cadre des opérations suivantes :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  <w:t>-  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apport en société par une personne physique d'une entreprise individuelle ou d'une branche d'activité, seules les </w:t>
      </w:r>
      <w:bookmarkStart w:id="13" w:name="JVHIT_13"/>
      <w:bookmarkEnd w:id="13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14" w:name="JVHIT_14"/>
      <w:bookmarkEnd w:id="14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d'apport sur biens non amortissables étant visées (</w:t>
      </w:r>
      <w:hyperlink r:id="rId7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 xml:space="preserve">CGI art. 151 </w:t>
        </w:r>
        <w:proofErr w:type="spellStart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octies</w:t>
        </w:r>
        <w:proofErr w:type="spellEnd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, I-a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: </w:t>
      </w:r>
      <w:hyperlink r:id="rId8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19710 s.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 ;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  <w:t>-  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apport en société de titres inscrits au bilan d'une entreprise individuelle (</w:t>
      </w:r>
      <w:hyperlink r:id="rId9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 xml:space="preserve">CGI art. 151 </w:t>
        </w:r>
        <w:proofErr w:type="spellStart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octies</w:t>
        </w:r>
        <w:proofErr w:type="spellEnd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 xml:space="preserve"> B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: </w:t>
      </w:r>
      <w:hyperlink r:id="rId10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18410 s.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 ou de titres d'associé d'une société de personnes (</w:t>
      </w:r>
      <w:hyperlink r:id="rId11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 xml:space="preserve">CGI art. 151 </w:t>
        </w:r>
        <w:proofErr w:type="spellStart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nonies</w:t>
        </w:r>
        <w:proofErr w:type="spellEnd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, IV bis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: </w:t>
      </w:r>
      <w:hyperlink r:id="rId12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37722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 ;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  <w:t>-  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restructuration de sociétés civiles professionnelles ou de sociétés civiles agricoles (</w:t>
      </w:r>
      <w:hyperlink r:id="rId13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 xml:space="preserve">CGI art. 151 </w:t>
        </w:r>
        <w:proofErr w:type="spellStart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octies</w:t>
        </w:r>
        <w:proofErr w:type="spellEnd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 xml:space="preserve"> A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: </w:t>
      </w:r>
      <w:hyperlink r:id="rId14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13875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et </w:t>
      </w:r>
      <w:hyperlink r:id="rId15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16500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 ;</w:t>
      </w:r>
    </w:p>
    <w:p w:rsidR="00847A4A" w:rsidRPr="00847A4A" w:rsidRDefault="00847A4A" w:rsidP="00847A4A">
      <w:pPr>
        <w:spacing w:after="150" w:line="240" w:lineRule="auto"/>
        <w:jc w:val="both"/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  <w:t>-  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apport d'un droit de la propriété intellectuelle à la société chargée de l'exploiter (</w:t>
      </w:r>
      <w:hyperlink r:id="rId16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CGI art. 93 quater, I ter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: </w:t>
      </w:r>
      <w:hyperlink r:id="rId17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13805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).</w:t>
      </w:r>
    </w:p>
    <w:p w:rsidR="00847A4A" w:rsidRPr="00847A4A" w:rsidRDefault="00847A4A" w:rsidP="00847A4A">
      <w:pPr>
        <w:spacing w:after="0" w:line="240" w:lineRule="auto"/>
        <w:jc w:val="right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111C48"/>
          <w:sz w:val="23"/>
          <w:szCs w:val="23"/>
          <w:bdr w:val="none" w:sz="0" w:space="0" w:color="auto" w:frame="1"/>
          <w:lang w:eastAsia="fr-FR"/>
        </w:rPr>
        <w:t>19940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333333"/>
          <w:sz w:val="23"/>
          <w:szCs w:val="23"/>
          <w:bdr w:val="none" w:sz="0" w:space="0" w:color="auto" w:frame="1"/>
          <w:lang w:eastAsia="fr-FR"/>
        </w:rPr>
        <w:t>BIC-XIX-31900 s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En cas de cession à titre onéreux de parts ou d'actions de sociétés passibles de l'IS (par exemple, lorsque la société de personnes dans laquelle le cédant exerce son activité professionnelle a opté pour l'IS), la </w:t>
      </w:r>
      <w:bookmarkStart w:id="15" w:name="JVHIT_15"/>
      <w:bookmarkEnd w:id="15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16" w:name="JVHIT_16"/>
      <w:bookmarkEnd w:id="16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dégagée par cette cession ne relève pas du régime des </w:t>
      </w:r>
      <w:bookmarkStart w:id="17" w:name="JVHIT_17"/>
      <w:bookmarkEnd w:id="17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18" w:name="JVHIT_18"/>
      <w:bookmarkEnd w:id="18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professionnelles mais du régime des </w:t>
      </w:r>
      <w:bookmarkStart w:id="19" w:name="JVHIT_19"/>
      <w:bookmarkEnd w:id="19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20" w:name="JVHIT_20"/>
      <w:bookmarkEnd w:id="20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des particuliers. Dans ce cas, certaines </w:t>
      </w:r>
      <w:bookmarkStart w:id="21" w:name="JVHIT_21"/>
      <w:bookmarkEnd w:id="21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22" w:name="JVHIT_22"/>
      <w:bookmarkEnd w:id="22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professionnelles en </w:t>
      </w:r>
      <w:bookmarkStart w:id="23" w:name="JVHIT_23"/>
      <w:bookmarkEnd w:id="23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report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d'</w:t>
      </w:r>
      <w:bookmarkStart w:id="24" w:name="JVHIT_24"/>
      <w:bookmarkEnd w:id="24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imposition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sont exonérées sur le fondement de l'</w:t>
      </w:r>
      <w:hyperlink r:id="rId18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 xml:space="preserve">article 151 </w:t>
        </w:r>
        <w:proofErr w:type="spellStart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septies</w:t>
        </w:r>
        <w:proofErr w:type="spellEnd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 xml:space="preserve"> A du CGI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sous les conditions suivantes (la </w:t>
      </w:r>
      <w:bookmarkStart w:id="25" w:name="JVHIT_25"/>
      <w:bookmarkEnd w:id="25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26" w:name="JVHIT_26"/>
      <w:bookmarkEnd w:id="26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de cession relevant du régime des </w:t>
      </w:r>
      <w:bookmarkStart w:id="27" w:name="JVHIT_27"/>
      <w:bookmarkEnd w:id="27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28" w:name="JVHIT_28"/>
      <w:bookmarkEnd w:id="28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 xml:space="preserve"> privées pouvant quant à elle bénéficier, le cas échéant, de l'abattement pour </w:t>
      </w:r>
      <w:proofErr w:type="spellStart"/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durée</w:t>
      </w:r>
      <w:proofErr w:type="spellEnd"/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 xml:space="preserve"> de détention visé </w:t>
      </w:r>
      <w:hyperlink r:id="rId19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33070 s.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 :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  <w:t>-  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le cédant doit avoir exercé de manière continue pendant les cinq ans précédant la cession une fonction de direction (au sens et dans les conditions prévues pour l'IFI : </w:t>
      </w:r>
      <w:hyperlink r:id="rId20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72820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et </w:t>
      </w:r>
      <w:hyperlink r:id="rId21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72825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 dans la société dont les titres sont cédés ;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  <w:lastRenderedPageBreak/>
        <w:t>-  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il doit cesser toute fonction dans cette société et faire valoir ses droits à la retraite dans les deux années suivant ou précédant la cession (voir toutefois </w:t>
      </w:r>
      <w:hyperlink r:id="rId22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19915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le cas où ce délai est porté à trois ans) ;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  <w:t>-  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il ne doit pas détenir directement ou indirectement le contrôle majoritaire de la société cessionnaire jusqu'au terme de la troisième année suivant la cession des titres ;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  <w:t>-  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la cession doit porter sur l'intégralité des droits ou parts détenus ;</w:t>
      </w:r>
    </w:p>
    <w:p w:rsidR="00847A4A" w:rsidRPr="00847A4A" w:rsidRDefault="00847A4A" w:rsidP="00847A4A">
      <w:pPr>
        <w:spacing w:after="0" w:line="240" w:lineRule="auto"/>
        <w:jc w:val="both"/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lang w:eastAsia="fr-FR"/>
        </w:rPr>
        <w:t>-  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la société doit être une PME ayant exercé de manière continue pendant les cinq années précédant la cession une activité commerciale, industrielle, artisanale, libérale ou agricole, à l'exception de la gestion de son propre patrimoine, et avoir son siège dans l'Union européenne, en Norvège, en Islande ou au Liechtenstein.</w:t>
      </w:r>
    </w:p>
    <w:p w:rsidR="00847A4A" w:rsidRPr="00847A4A" w:rsidRDefault="00847A4A" w:rsidP="00847A4A">
      <w:pPr>
        <w:spacing w:after="150" w:line="240" w:lineRule="auto"/>
        <w:jc w:val="both"/>
        <w:rPr>
          <w:rFonts w:ascii="Fira Sans" w:eastAsia="Times New Roman" w:hAnsi="Fira Sans" w:cs="Times New Roman"/>
          <w:color w:val="333333"/>
          <w:sz w:val="23"/>
          <w:szCs w:val="23"/>
          <w:lang w:eastAsia="fr-FR"/>
        </w:rPr>
      </w:pP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Les </w:t>
      </w:r>
      <w:bookmarkStart w:id="29" w:name="JVHIT_29"/>
      <w:bookmarkEnd w:id="29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plus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-</w:t>
      </w:r>
      <w:bookmarkStart w:id="30" w:name="JVHIT_30"/>
      <w:bookmarkEnd w:id="30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values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en </w:t>
      </w:r>
      <w:bookmarkStart w:id="31" w:name="JVHIT_31"/>
      <w:bookmarkEnd w:id="31"/>
      <w:r w:rsidRPr="00847A4A">
        <w:rPr>
          <w:rFonts w:ascii="Fira Sans" w:eastAsia="Times New Roman" w:hAnsi="Fira Sans" w:cs="Times New Roman"/>
          <w:color w:val="F0703C"/>
          <w:sz w:val="23"/>
          <w:szCs w:val="23"/>
          <w:bdr w:val="none" w:sz="0" w:space="0" w:color="auto" w:frame="1"/>
          <w:lang w:eastAsia="fr-FR"/>
        </w:rPr>
        <w:t>report</w:t>
      </w:r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concernées sont celles mentionnées </w:t>
      </w:r>
      <w:hyperlink r:id="rId23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19935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, auxquelles il convient d'ajouter celles résultant de l'option pour l'IS de la société de personnes dans laquelle l'associé exerce son activité professionnelle (</w:t>
      </w:r>
      <w:hyperlink r:id="rId24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 xml:space="preserve">CGI art. 151 </w:t>
        </w:r>
        <w:proofErr w:type="spellStart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nonies</w:t>
        </w:r>
        <w:proofErr w:type="spellEnd"/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, III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 : </w:t>
      </w:r>
      <w:hyperlink r:id="rId25" w:history="1">
        <w:r w:rsidRPr="00847A4A">
          <w:rPr>
            <w:rFonts w:ascii="Fira Sans" w:eastAsia="Times New Roman" w:hAnsi="Fira Sans" w:cs="Times New Roman"/>
            <w:color w:val="487FC6"/>
            <w:sz w:val="23"/>
            <w:szCs w:val="23"/>
            <w:u w:val="single"/>
            <w:bdr w:val="none" w:sz="0" w:space="0" w:color="auto" w:frame="1"/>
            <w:lang w:eastAsia="fr-FR"/>
          </w:rPr>
          <w:t>n° 37721</w:t>
        </w:r>
      </w:hyperlink>
      <w:r w:rsidRPr="00847A4A">
        <w:rPr>
          <w:rFonts w:ascii="Fira Sans" w:eastAsia="Times New Roman" w:hAnsi="Fira Sans" w:cs="Times New Roman"/>
          <w:color w:val="000000"/>
          <w:sz w:val="23"/>
          <w:szCs w:val="23"/>
          <w:bdr w:val="none" w:sz="0" w:space="0" w:color="auto" w:frame="1"/>
          <w:lang w:eastAsia="fr-FR"/>
        </w:rPr>
        <w:t>).</w:t>
      </w:r>
    </w:p>
    <w:p w:rsidR="00492B9C" w:rsidRDefault="00492B9C">
      <w:bookmarkStart w:id="32" w:name="_GoBack"/>
      <w:bookmarkEnd w:id="32"/>
    </w:p>
    <w:sectPr w:rsidR="004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4A"/>
    <w:rsid w:val="00282E99"/>
    <w:rsid w:val="00492B9C"/>
    <w:rsid w:val="00525FDD"/>
    <w:rsid w:val="0084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A9A88-F75F-4E6C-8B3C-4C428F64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qw-art">
    <w:name w:val="qw-art"/>
    <w:basedOn w:val="Policepardfaut"/>
    <w:rsid w:val="00847A4A"/>
  </w:style>
  <w:style w:type="character" w:customStyle="1" w:styleId="linktargetnotfound">
    <w:name w:val="linktargetnotfound"/>
    <w:basedOn w:val="Policepardfaut"/>
    <w:rsid w:val="00847A4A"/>
  </w:style>
  <w:style w:type="character" w:customStyle="1" w:styleId="txt">
    <w:name w:val="txt"/>
    <w:basedOn w:val="Policepardfaut"/>
    <w:rsid w:val="00847A4A"/>
  </w:style>
  <w:style w:type="character" w:customStyle="1" w:styleId="txtbold">
    <w:name w:val="txtbold"/>
    <w:basedOn w:val="Policepardfaut"/>
    <w:rsid w:val="00847A4A"/>
  </w:style>
  <w:style w:type="character" w:styleId="Lienhypertexte">
    <w:name w:val="Hyperlink"/>
    <w:basedOn w:val="Policepardfaut"/>
    <w:uiPriority w:val="99"/>
    <w:semiHidden/>
    <w:unhideWhenUsed/>
    <w:rsid w:val="00847A4A"/>
    <w:rPr>
      <w:color w:val="0000FF"/>
      <w:u w:val="single"/>
    </w:rPr>
  </w:style>
  <w:style w:type="character" w:customStyle="1" w:styleId="qw-refdoc">
    <w:name w:val="qw-refdoc"/>
    <w:basedOn w:val="Policepardfaut"/>
    <w:rsid w:val="00847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7533">
          <w:marLeft w:val="0"/>
          <w:marRight w:val="1260"/>
          <w:marTop w:val="27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97951">
              <w:marLeft w:val="126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433679">
          <w:marLeft w:val="0"/>
          <w:marRight w:val="1260"/>
          <w:marTop w:val="27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70348">
              <w:marLeft w:val="126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77216">
          <w:marLeft w:val="0"/>
          <w:marRight w:val="126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37098">
              <w:marLeft w:val="12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5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367961">
          <w:marLeft w:val="0"/>
          <w:marRight w:val="1260"/>
          <w:marTop w:val="27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977">
              <w:marLeft w:val="126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1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41297">
          <w:marLeft w:val="0"/>
          <w:marRight w:val="126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55797">
              <w:marLeft w:val="12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7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4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00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7849970">
          <w:marLeft w:val="0"/>
          <w:marRight w:val="126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89371">
              <w:marLeft w:val="12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9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6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1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10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27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onnes.efl.fr/EFL2/convert/id/?id=P124AEB4EB03B8761-EFL" TargetMode="External"/><Relationship Id="rId13" Type="http://schemas.openxmlformats.org/officeDocument/2006/relationships/hyperlink" Target="https://abonnes.efl.fr/EFL2/convert/id/?id=AEFA86D75C392E94-EFL" TargetMode="External"/><Relationship Id="rId18" Type="http://schemas.openxmlformats.org/officeDocument/2006/relationships/hyperlink" Target="https://abonnes.efl.fr/EFL2/convert/id/?id=AE96927512C514E5-EF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abonnes.efl.fr/EFL2/convert/id/?id=P30C669B65216E202-EFL" TargetMode="External"/><Relationship Id="rId7" Type="http://schemas.openxmlformats.org/officeDocument/2006/relationships/hyperlink" Target="https://abonnes.efl.fr/EFL2/convert/id/?id=AEE586D75C392E94-EFL" TargetMode="External"/><Relationship Id="rId12" Type="http://schemas.openxmlformats.org/officeDocument/2006/relationships/hyperlink" Target="https://abonnes.efl.fr/EFL2/convert/id/?id=P23ECE0249DD4BF2-EFL" TargetMode="External"/><Relationship Id="rId17" Type="http://schemas.openxmlformats.org/officeDocument/2006/relationships/hyperlink" Target="https://abonnes.efl.fr/EFL2/convert/id/?id=PD96A26AF13C8E56-EFL" TargetMode="External"/><Relationship Id="rId25" Type="http://schemas.openxmlformats.org/officeDocument/2006/relationships/hyperlink" Target="https://abonnes.efl.fr/EFL2/convert/id/?id=P238CE0249DD4BF2-EF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bonnes.efl.fr/EFL2/convert/id/?id=A97386D75C392E94-EFL" TargetMode="External"/><Relationship Id="rId20" Type="http://schemas.openxmlformats.org/officeDocument/2006/relationships/hyperlink" Target="https://abonnes.efl.fr/EFL2/convert/id/?id=P30C169B65216E202-EFL" TargetMode="External"/><Relationship Id="rId1" Type="http://schemas.openxmlformats.org/officeDocument/2006/relationships/styles" Target="styles.xml"/><Relationship Id="rId6" Type="http://schemas.openxmlformats.org/officeDocument/2006/relationships/hyperlink" Target="https://abonnes.efl.fr/EFL2/convert/id/?id=PAF6A26AF13C8E56-EFL" TargetMode="External"/><Relationship Id="rId11" Type="http://schemas.openxmlformats.org/officeDocument/2006/relationships/hyperlink" Target="https://abonnes.efl.fr/EFL2/convert/id/?id=AF3786D75C392E94-EFL" TargetMode="External"/><Relationship Id="rId24" Type="http://schemas.openxmlformats.org/officeDocument/2006/relationships/hyperlink" Target="https://abonnes.efl.fr/EFL2/convert/id/?id=AF3786D75C392E94-EFL" TargetMode="External"/><Relationship Id="rId5" Type="http://schemas.openxmlformats.org/officeDocument/2006/relationships/hyperlink" Target="https://abonnes.efl.fr/EFL2/convert/id/?id=A21786D75C392E94-EFL" TargetMode="External"/><Relationship Id="rId15" Type="http://schemas.openxmlformats.org/officeDocument/2006/relationships/hyperlink" Target="https://abonnes.efl.fr/EFL2/convert/id/?id=P105AC0F050E852F7-EFL" TargetMode="External"/><Relationship Id="rId23" Type="http://schemas.openxmlformats.org/officeDocument/2006/relationships/hyperlink" Target="https://abonnes.efl.fr/EFL2/convert/id/?id=P12A3EB4EB03B8761-EFL" TargetMode="External"/><Relationship Id="rId10" Type="http://schemas.openxmlformats.org/officeDocument/2006/relationships/hyperlink" Target="https://abonnes.efl.fr/EFL2/convert/id/?id=P1072EB4EB03B8761-EFL" TargetMode="External"/><Relationship Id="rId19" Type="http://schemas.openxmlformats.org/officeDocument/2006/relationships/hyperlink" Target="https://abonnes.efl.fr/EFL2/convert/id/?id=P17B137FCCA32488C-EFL" TargetMode="External"/><Relationship Id="rId4" Type="http://schemas.openxmlformats.org/officeDocument/2006/relationships/hyperlink" Target="https://abonnes.efl.fr/EFL2/convert/id/?id=P1016EB4EB03B8761-EFL" TargetMode="External"/><Relationship Id="rId9" Type="http://schemas.openxmlformats.org/officeDocument/2006/relationships/hyperlink" Target="https://abonnes.efl.fr/EFL2/convert/id/?id=AF0B86D75C392E94-EFL" TargetMode="External"/><Relationship Id="rId14" Type="http://schemas.openxmlformats.org/officeDocument/2006/relationships/hyperlink" Target="https://abonnes.efl.fr/EFL2/convert/id/?id=PDE3EB4EB03B8761-EFL" TargetMode="External"/><Relationship Id="rId22" Type="http://schemas.openxmlformats.org/officeDocument/2006/relationships/hyperlink" Target="https://abonnes.efl.fr/EFL2/convert/id/?id=P12D57E6A965BF17F-EF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1</cp:revision>
  <dcterms:created xsi:type="dcterms:W3CDTF">2024-04-26T12:27:00Z</dcterms:created>
  <dcterms:modified xsi:type="dcterms:W3CDTF">2024-04-26T12:29:00Z</dcterms:modified>
</cp:coreProperties>
</file>